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12" w:rsidRPr="00A430E3" w:rsidRDefault="00076412" w:rsidP="00A17930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Приложение </w:t>
      </w:r>
      <w:r w:rsidR="008E7885" w:rsidRPr="00A430E3">
        <w:rPr>
          <w:sz w:val="28"/>
          <w:szCs w:val="28"/>
        </w:rPr>
        <w:t>1</w:t>
      </w:r>
      <w:r w:rsidR="003754C4">
        <w:rPr>
          <w:sz w:val="28"/>
          <w:szCs w:val="28"/>
        </w:rPr>
        <w:t>5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к </w:t>
      </w:r>
      <w:r w:rsidR="00FA3EE2" w:rsidRPr="00A430E3">
        <w:rPr>
          <w:sz w:val="28"/>
          <w:szCs w:val="28"/>
        </w:rPr>
        <w:t>З</w:t>
      </w:r>
      <w:r w:rsidRPr="00A430E3">
        <w:rPr>
          <w:sz w:val="28"/>
          <w:szCs w:val="28"/>
        </w:rPr>
        <w:t>акону Оренбургской области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>«Об областном бюджете на 20</w:t>
      </w:r>
      <w:r w:rsidR="0008700E">
        <w:rPr>
          <w:sz w:val="28"/>
          <w:szCs w:val="28"/>
        </w:rPr>
        <w:t>20</w:t>
      </w:r>
      <w:r w:rsidRPr="00A430E3">
        <w:rPr>
          <w:sz w:val="28"/>
          <w:szCs w:val="28"/>
        </w:rPr>
        <w:t xml:space="preserve"> год</w:t>
      </w:r>
      <w:r w:rsidR="00E54BBB" w:rsidRPr="00A430E3">
        <w:rPr>
          <w:sz w:val="28"/>
          <w:szCs w:val="28"/>
        </w:rPr>
        <w:t xml:space="preserve"> и на плановый период 20</w:t>
      </w:r>
      <w:r w:rsidR="00477BB4">
        <w:rPr>
          <w:sz w:val="28"/>
          <w:szCs w:val="28"/>
        </w:rPr>
        <w:t>2</w:t>
      </w:r>
      <w:r w:rsidR="0008700E">
        <w:rPr>
          <w:sz w:val="28"/>
          <w:szCs w:val="28"/>
        </w:rPr>
        <w:t>1</w:t>
      </w:r>
      <w:r w:rsidR="00E54BBB" w:rsidRPr="00A430E3">
        <w:rPr>
          <w:sz w:val="28"/>
          <w:szCs w:val="28"/>
        </w:rPr>
        <w:t xml:space="preserve"> и 20</w:t>
      </w:r>
      <w:r w:rsidR="00734D22" w:rsidRPr="00A430E3">
        <w:rPr>
          <w:sz w:val="28"/>
          <w:szCs w:val="28"/>
        </w:rPr>
        <w:t>2</w:t>
      </w:r>
      <w:r w:rsidR="0008700E">
        <w:rPr>
          <w:sz w:val="28"/>
          <w:szCs w:val="28"/>
        </w:rPr>
        <w:t>2</w:t>
      </w:r>
      <w:r w:rsidR="00E54BBB" w:rsidRPr="00A430E3">
        <w:rPr>
          <w:sz w:val="28"/>
          <w:szCs w:val="28"/>
        </w:rPr>
        <w:t xml:space="preserve"> годов</w:t>
      </w:r>
      <w:r w:rsidRPr="00A430E3">
        <w:rPr>
          <w:sz w:val="28"/>
          <w:szCs w:val="28"/>
        </w:rPr>
        <w:t>»</w:t>
      </w:r>
    </w:p>
    <w:p w:rsidR="00D94B5A" w:rsidRPr="00D94B5A" w:rsidRDefault="00D94B5A" w:rsidP="00D94B5A">
      <w:pPr>
        <w:ind w:left="4536"/>
        <w:rPr>
          <w:sz w:val="28"/>
          <w:szCs w:val="28"/>
        </w:rPr>
      </w:pPr>
      <w:r w:rsidRPr="00D94B5A">
        <w:rPr>
          <w:sz w:val="28"/>
          <w:szCs w:val="28"/>
        </w:rPr>
        <w:t>от 20 декабря 2019 года</w:t>
      </w:r>
    </w:p>
    <w:p w:rsidR="00D94B5A" w:rsidRPr="00D94B5A" w:rsidRDefault="00D94B5A" w:rsidP="00D94B5A">
      <w:pPr>
        <w:ind w:left="4536"/>
        <w:rPr>
          <w:sz w:val="28"/>
          <w:szCs w:val="28"/>
        </w:rPr>
      </w:pPr>
      <w:r w:rsidRPr="00D94B5A">
        <w:rPr>
          <w:sz w:val="28"/>
          <w:szCs w:val="28"/>
        </w:rPr>
        <w:t>№ 2010/527-VI-ОЗ</w:t>
      </w:r>
    </w:p>
    <w:p w:rsidR="00D479DB" w:rsidRPr="008D5649" w:rsidRDefault="00D479DB" w:rsidP="00D479DB">
      <w:pPr>
        <w:ind w:left="4536"/>
        <w:rPr>
          <w:sz w:val="28"/>
          <w:szCs w:val="28"/>
        </w:rPr>
      </w:pPr>
      <w:proofErr w:type="gramStart"/>
      <w:r w:rsidRPr="008D5649">
        <w:rPr>
          <w:sz w:val="28"/>
          <w:szCs w:val="28"/>
        </w:rPr>
        <w:t>(в редакции Закона Оренбургской о</w:t>
      </w:r>
      <w:r w:rsidRPr="008D5649">
        <w:rPr>
          <w:sz w:val="28"/>
          <w:szCs w:val="28"/>
        </w:rPr>
        <w:t>б</w:t>
      </w:r>
      <w:r w:rsidRPr="008D5649">
        <w:rPr>
          <w:sz w:val="28"/>
          <w:szCs w:val="28"/>
        </w:rPr>
        <w:t>ласти «О внесении изменений в Закон Оренбургской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области «Об областном бюджете на 2020 год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и на плановый п</w:t>
      </w:r>
      <w:r w:rsidRPr="008D5649">
        <w:rPr>
          <w:sz w:val="28"/>
          <w:szCs w:val="28"/>
        </w:rPr>
        <w:t>е</w:t>
      </w:r>
      <w:r w:rsidRPr="008D5649">
        <w:rPr>
          <w:sz w:val="28"/>
          <w:szCs w:val="28"/>
        </w:rPr>
        <w:t>риод 2021 и 2022 годов»</w:t>
      </w:r>
      <w:proofErr w:type="gramEnd"/>
    </w:p>
    <w:p w:rsidR="00D479DB" w:rsidRPr="00A640D3" w:rsidRDefault="00D479DB" w:rsidP="00D479DB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от </w:t>
      </w:r>
    </w:p>
    <w:p w:rsidR="00D479DB" w:rsidRPr="00A640D3" w:rsidRDefault="00D479DB" w:rsidP="00D479DB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№ </w:t>
      </w:r>
    </w:p>
    <w:p w:rsidR="000F7519" w:rsidRDefault="000F7519" w:rsidP="00AC61F2">
      <w:pPr>
        <w:ind w:left="4536"/>
        <w:rPr>
          <w:sz w:val="28"/>
          <w:szCs w:val="28"/>
        </w:rPr>
      </w:pPr>
      <w:bookmarkStart w:id="0" w:name="_GoBack"/>
      <w:bookmarkEnd w:id="0"/>
    </w:p>
    <w:p w:rsidR="00C33F9B" w:rsidRDefault="00C33F9B" w:rsidP="00C33F9B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43"/>
      <w:bookmarkEnd w:id="1"/>
    </w:p>
    <w:p w:rsidR="00C33F9B" w:rsidRPr="00E96199" w:rsidRDefault="006F2FFB" w:rsidP="00C33F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619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C33F9B" w:rsidRPr="00E96199" w:rsidRDefault="00A62853" w:rsidP="006F2F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6199">
        <w:rPr>
          <w:rFonts w:ascii="Times New Roman" w:hAnsi="Times New Roman" w:cs="Times New Roman"/>
          <w:b w:val="0"/>
          <w:sz w:val="28"/>
          <w:szCs w:val="28"/>
        </w:rPr>
        <w:t xml:space="preserve">формирования и </w:t>
      </w:r>
      <w:r w:rsidR="00C33F9B" w:rsidRPr="00E9619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из областного бюджета </w:t>
      </w:r>
      <w:r w:rsidR="006F2FFB" w:rsidRPr="00E96199">
        <w:rPr>
          <w:rFonts w:ascii="Times New Roman" w:hAnsi="Times New Roman" w:cs="Times New Roman"/>
          <w:b w:val="0"/>
          <w:sz w:val="28"/>
          <w:szCs w:val="28"/>
        </w:rPr>
        <w:t xml:space="preserve">единой субвенции </w:t>
      </w:r>
      <w:r w:rsidR="008C68B3" w:rsidRPr="008C68B3">
        <w:rPr>
          <w:rFonts w:ascii="Times New Roman" w:hAnsi="Times New Roman" w:cs="Times New Roman"/>
          <w:b w:val="0"/>
          <w:sz w:val="28"/>
          <w:szCs w:val="28"/>
        </w:rPr>
        <w:t xml:space="preserve">бюджетам городских округов и муниципальных районов </w:t>
      </w:r>
      <w:r w:rsidR="006F2FFB" w:rsidRPr="00E96199">
        <w:rPr>
          <w:rFonts w:ascii="Times New Roman" w:hAnsi="Times New Roman" w:cs="Times New Roman"/>
          <w:b w:val="0"/>
          <w:sz w:val="28"/>
          <w:szCs w:val="28"/>
        </w:rPr>
        <w:t>на осуществление отдел</w:t>
      </w:r>
      <w:r w:rsidR="008C2BE8">
        <w:rPr>
          <w:rFonts w:ascii="Times New Roman" w:hAnsi="Times New Roman" w:cs="Times New Roman"/>
          <w:b w:val="0"/>
          <w:sz w:val="28"/>
          <w:szCs w:val="28"/>
        </w:rPr>
        <w:t>ьных государственных полномочий</w:t>
      </w:r>
    </w:p>
    <w:p w:rsidR="00A62853" w:rsidRPr="00E96199" w:rsidRDefault="00A62853" w:rsidP="006F2F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2451" w:rsidRDefault="009C2451" w:rsidP="009C2451">
      <w:pPr>
        <w:pStyle w:val="ConsPlusNormal"/>
        <w:ind w:firstLine="709"/>
        <w:jc w:val="both"/>
      </w:pPr>
      <w:r>
        <w:t>1</w:t>
      </w:r>
      <w:r w:rsidRPr="006F2FFB">
        <w:t>. Единая субвенция бюджетам городских округов и муниципальных районов Оренбургской области на осуществление отдельных государстве</w:t>
      </w:r>
      <w:r w:rsidRPr="006F2FFB">
        <w:t>н</w:t>
      </w:r>
      <w:r w:rsidRPr="006F2FFB">
        <w:t>ных полномочий (далее</w:t>
      </w:r>
      <w:r>
        <w:t xml:space="preserve"> – </w:t>
      </w:r>
      <w:r w:rsidRPr="006F2FFB">
        <w:t>единая субвенция)</w:t>
      </w:r>
      <w:r>
        <w:t xml:space="preserve"> </w:t>
      </w:r>
      <w:r w:rsidRPr="006F2FFB">
        <w:t xml:space="preserve">формируется из </w:t>
      </w:r>
      <w:r>
        <w:t xml:space="preserve">следующих </w:t>
      </w:r>
      <w:r w:rsidRPr="006F2FFB">
        <w:t>субвенций, предоставляемых из областного бюджета бюджетам городских округов и муниципальных рай</w:t>
      </w:r>
      <w:r>
        <w:t>онов:</w:t>
      </w:r>
    </w:p>
    <w:p w:rsidR="009C2451" w:rsidRPr="00367780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городских округов и муниципальных районов на выполнение государственных полномочий по созданию и организации де</w:t>
      </w:r>
      <w:r w:rsidRPr="00367780">
        <w:rPr>
          <w:sz w:val="28"/>
          <w:szCs w:val="28"/>
        </w:rPr>
        <w:t>я</w:t>
      </w:r>
      <w:r w:rsidRPr="00367780">
        <w:rPr>
          <w:sz w:val="28"/>
          <w:szCs w:val="28"/>
        </w:rPr>
        <w:t>тельности комиссий по делам несо</w:t>
      </w:r>
      <w:r>
        <w:rPr>
          <w:sz w:val="28"/>
          <w:szCs w:val="28"/>
        </w:rPr>
        <w:t>вершеннолетних и защите их прав;</w:t>
      </w:r>
      <w:proofErr w:type="gramEnd"/>
    </w:p>
    <w:p w:rsidR="009C2451" w:rsidRPr="00367780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муниципальных районов на выполнение госуда</w:t>
      </w:r>
      <w:r w:rsidRPr="00367780">
        <w:rPr>
          <w:sz w:val="28"/>
          <w:szCs w:val="28"/>
        </w:rPr>
        <w:t>р</w:t>
      </w:r>
      <w:r w:rsidRPr="00367780">
        <w:rPr>
          <w:sz w:val="28"/>
          <w:szCs w:val="28"/>
        </w:rPr>
        <w:t>ственных полномочий по сбору информации от поселений, входящих в с</w:t>
      </w:r>
      <w:r w:rsidRPr="00367780">
        <w:rPr>
          <w:sz w:val="28"/>
          <w:szCs w:val="28"/>
        </w:rPr>
        <w:t>о</w:t>
      </w:r>
      <w:r w:rsidRPr="00367780">
        <w:rPr>
          <w:sz w:val="28"/>
          <w:szCs w:val="28"/>
        </w:rPr>
        <w:t>став муниципальных районов, необходимой для ведения регистра муниц</w:t>
      </w:r>
      <w:r w:rsidRPr="00367780">
        <w:rPr>
          <w:sz w:val="28"/>
          <w:szCs w:val="28"/>
        </w:rPr>
        <w:t>и</w:t>
      </w:r>
      <w:r w:rsidRPr="00367780">
        <w:rPr>
          <w:sz w:val="28"/>
          <w:szCs w:val="28"/>
        </w:rPr>
        <w:t>пальных нормативных прав</w:t>
      </w:r>
      <w:r>
        <w:rPr>
          <w:sz w:val="28"/>
          <w:szCs w:val="28"/>
        </w:rPr>
        <w:t>овых актов Оренбургской области;</w:t>
      </w:r>
    </w:p>
    <w:p w:rsidR="009C2451" w:rsidRPr="00367780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городских округов и муниципальных районов на выполнение государственных полномочий по формированию торгового ре</w:t>
      </w:r>
      <w:r w:rsidRPr="00367780">
        <w:rPr>
          <w:sz w:val="28"/>
          <w:szCs w:val="28"/>
        </w:rPr>
        <w:t>е</w:t>
      </w:r>
      <w:r>
        <w:rPr>
          <w:sz w:val="28"/>
          <w:szCs w:val="28"/>
        </w:rPr>
        <w:t>стра;</w:t>
      </w:r>
    </w:p>
    <w:p w:rsidR="009C2451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городских округов и муниципальных районов на выполнение государственных полномочий по организации и осуществлению деятельности по опеке и попечит</w:t>
      </w:r>
      <w:r>
        <w:rPr>
          <w:sz w:val="28"/>
          <w:szCs w:val="28"/>
        </w:rPr>
        <w:t>ельству над несовершеннолетними;</w:t>
      </w:r>
    </w:p>
    <w:p w:rsidR="009C2451" w:rsidRPr="00367780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городских округов и муниципальных районов на осуществление переданных полномочий по </w:t>
      </w:r>
      <w:r>
        <w:rPr>
          <w:sz w:val="28"/>
          <w:szCs w:val="28"/>
        </w:rPr>
        <w:t xml:space="preserve">формированию и </w:t>
      </w:r>
      <w:r w:rsidRPr="00367780">
        <w:rPr>
          <w:sz w:val="28"/>
          <w:szCs w:val="28"/>
        </w:rPr>
        <w:t>ведению списка подлежащих обеспечению жилыми помещениями детей-сирот и детей, о</w:t>
      </w:r>
      <w:r w:rsidRPr="00367780">
        <w:rPr>
          <w:sz w:val="28"/>
          <w:szCs w:val="28"/>
        </w:rPr>
        <w:t>с</w:t>
      </w:r>
      <w:r w:rsidRPr="00367780">
        <w:rPr>
          <w:sz w:val="28"/>
          <w:szCs w:val="28"/>
        </w:rPr>
        <w:t>тавшихся без попечения родителей, лиц из числа детей-сирот и детей, оста</w:t>
      </w:r>
      <w:r w:rsidRPr="00367780">
        <w:rPr>
          <w:sz w:val="28"/>
          <w:szCs w:val="28"/>
        </w:rPr>
        <w:t>в</w:t>
      </w:r>
      <w:r w:rsidRPr="00367780">
        <w:rPr>
          <w:sz w:val="28"/>
          <w:szCs w:val="28"/>
        </w:rPr>
        <w:t>шихся без по</w:t>
      </w:r>
      <w:r>
        <w:rPr>
          <w:sz w:val="28"/>
          <w:szCs w:val="28"/>
        </w:rPr>
        <w:t>печения родителей;</w:t>
      </w:r>
    </w:p>
    <w:p w:rsidR="009C2451" w:rsidRPr="00367780" w:rsidRDefault="009C2451" w:rsidP="009C245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городских округов и муниципальных районов на выполнение государственных полномочий по созданию </w:t>
      </w:r>
      <w:r>
        <w:rPr>
          <w:sz w:val="28"/>
          <w:szCs w:val="28"/>
        </w:rPr>
        <w:t>административных комиссий;</w:t>
      </w:r>
    </w:p>
    <w:p w:rsidR="009C2451" w:rsidRDefault="009C2451" w:rsidP="009C2451">
      <w:pPr>
        <w:adjustRightInd w:val="0"/>
        <w:ind w:firstLine="709"/>
        <w:jc w:val="both"/>
      </w:pPr>
      <w:r>
        <w:rPr>
          <w:sz w:val="28"/>
          <w:szCs w:val="28"/>
        </w:rPr>
        <w:t>с</w:t>
      </w:r>
      <w:r w:rsidRPr="00367780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367780">
        <w:rPr>
          <w:sz w:val="28"/>
          <w:szCs w:val="28"/>
        </w:rPr>
        <w:t xml:space="preserve"> бюджетам муниципальных районов на организацию выпо</w:t>
      </w:r>
      <w:r w:rsidRPr="00367780">
        <w:rPr>
          <w:sz w:val="28"/>
          <w:szCs w:val="28"/>
        </w:rPr>
        <w:t>л</w:t>
      </w:r>
      <w:r w:rsidRPr="00367780">
        <w:rPr>
          <w:sz w:val="28"/>
          <w:szCs w:val="28"/>
        </w:rPr>
        <w:t>нения полномочий Оренбургской области по расчету и предоставлению д</w:t>
      </w:r>
      <w:r w:rsidRPr="00367780">
        <w:rPr>
          <w:sz w:val="28"/>
          <w:szCs w:val="28"/>
        </w:rPr>
        <w:t>о</w:t>
      </w:r>
      <w:r w:rsidRPr="00367780">
        <w:rPr>
          <w:sz w:val="28"/>
          <w:szCs w:val="28"/>
        </w:rPr>
        <w:t xml:space="preserve">таций бюджетам поселений на выравнивание бюджетной обеспеченности за счет средств </w:t>
      </w:r>
      <w:r>
        <w:rPr>
          <w:sz w:val="28"/>
          <w:szCs w:val="28"/>
        </w:rPr>
        <w:t>областного бюджета.</w:t>
      </w:r>
    </w:p>
    <w:p w:rsidR="009C2451" w:rsidRDefault="009C2451" w:rsidP="009C2451">
      <w:pPr>
        <w:pStyle w:val="ConsPlusNormal"/>
        <w:keepNext/>
        <w:ind w:firstLine="709"/>
        <w:jc w:val="both"/>
      </w:pPr>
      <w:r>
        <w:t>2</w:t>
      </w:r>
      <w:r w:rsidRPr="006F2FFB">
        <w:t>. Общий объем единой субвенции рассчитывается по формуле:</w:t>
      </w:r>
    </w:p>
    <w:p w:rsidR="009C2451" w:rsidRPr="006F2FFB" w:rsidRDefault="009C2451" w:rsidP="009C2451">
      <w:pPr>
        <w:pStyle w:val="ConsPlusNormal"/>
        <w:keepNext/>
        <w:ind w:firstLine="709"/>
        <w:jc w:val="both"/>
      </w:pPr>
    </w:p>
    <w:p w:rsidR="009C2451" w:rsidRDefault="009C2451" w:rsidP="009C2451">
      <w:pPr>
        <w:pStyle w:val="ConsPlusNormal"/>
        <w:jc w:val="center"/>
      </w:pPr>
      <w:r w:rsidRPr="006F2FFB">
        <w:rPr>
          <w:noProof/>
          <w:position w:val="-26"/>
        </w:rPr>
        <w:drawing>
          <wp:inline distT="0" distB="0" distL="0" distR="0">
            <wp:extent cx="1057275" cy="476250"/>
            <wp:effectExtent l="0" t="0" r="0" b="0"/>
            <wp:docPr id="3" name="Рисунок 2" descr="base_23942_7620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42_76203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451" w:rsidRPr="006F2FFB" w:rsidRDefault="009C2451" w:rsidP="009C2451">
      <w:pPr>
        <w:pStyle w:val="ConsPlusNormal"/>
        <w:jc w:val="center"/>
      </w:pPr>
    </w:p>
    <w:p w:rsidR="009C2451" w:rsidRPr="006F2FFB" w:rsidRDefault="009C2451" w:rsidP="009C2451">
      <w:pPr>
        <w:pStyle w:val="ConsPlusNormal"/>
        <w:ind w:firstLine="709"/>
        <w:jc w:val="both"/>
      </w:pPr>
      <w:proofErr w:type="spellStart"/>
      <w:r w:rsidRPr="006F2FFB">
        <w:t>i</w:t>
      </w:r>
      <w:proofErr w:type="spellEnd"/>
      <w:r w:rsidRPr="006F2FFB">
        <w:t xml:space="preserve"> </w:t>
      </w:r>
      <w:r>
        <w:t>–</w:t>
      </w:r>
      <w:r w:rsidRPr="006F2FFB">
        <w:t xml:space="preserve"> муниципальное образование, бюджету которого в соответствии с утвержденными законами Оренбургской области методиками распределения субвенций, формирующих единую субвенцию, предусмотрена хотя бы одна из таких субвенций;</w:t>
      </w:r>
    </w:p>
    <w:p w:rsidR="009C2451" w:rsidRPr="006F2FFB" w:rsidRDefault="009C2451" w:rsidP="009C2451">
      <w:pPr>
        <w:pStyle w:val="ConsPlusNormal"/>
        <w:ind w:firstLine="709"/>
        <w:jc w:val="both"/>
      </w:pPr>
      <w:proofErr w:type="spellStart"/>
      <w:r w:rsidRPr="006F2FFB">
        <w:t>n</w:t>
      </w:r>
      <w:proofErr w:type="spellEnd"/>
      <w:r w:rsidRPr="006F2FFB">
        <w:t xml:space="preserve"> </w:t>
      </w:r>
      <w:r>
        <w:t>–</w:t>
      </w:r>
      <w:r w:rsidRPr="006F2FFB">
        <w:t xml:space="preserve"> количество </w:t>
      </w:r>
      <w:proofErr w:type="spellStart"/>
      <w:r w:rsidRPr="006F2FFB">
        <w:t>i-х</w:t>
      </w:r>
      <w:proofErr w:type="spellEnd"/>
      <w:r w:rsidRPr="006F2FFB">
        <w:t xml:space="preserve"> муниципальных образований;</w:t>
      </w:r>
    </w:p>
    <w:p w:rsidR="009C2451" w:rsidRPr="006F2FFB" w:rsidRDefault="009C2451" w:rsidP="009C2451">
      <w:pPr>
        <w:pStyle w:val="ConsPlusNormal"/>
        <w:ind w:firstLine="709"/>
        <w:jc w:val="both"/>
      </w:pPr>
      <w:proofErr w:type="spellStart"/>
      <w:r w:rsidRPr="006F2FFB">
        <w:t>V</w:t>
      </w:r>
      <w:r w:rsidRPr="006F2FFB">
        <w:rPr>
          <w:vertAlign w:val="subscript"/>
        </w:rPr>
        <w:t>i</w:t>
      </w:r>
      <w:proofErr w:type="spellEnd"/>
      <w:r w:rsidRPr="006F2FFB">
        <w:t xml:space="preserve"> </w:t>
      </w:r>
      <w:r>
        <w:t>–</w:t>
      </w:r>
      <w:r w:rsidRPr="006F2FFB">
        <w:t xml:space="preserve"> объем субвенций, формирующих единую субвенцию, предусмо</w:t>
      </w:r>
      <w:r w:rsidRPr="006F2FFB">
        <w:t>т</w:t>
      </w:r>
      <w:r w:rsidRPr="006F2FFB">
        <w:t>ренных бюджету i-го муниципального образования в соответствии с утве</w:t>
      </w:r>
      <w:r w:rsidRPr="006F2FFB">
        <w:t>р</w:t>
      </w:r>
      <w:r w:rsidRPr="006F2FFB">
        <w:t xml:space="preserve">жденными законами Оренбургской области методиками распределения таких субвенций (далее </w:t>
      </w:r>
      <w:r>
        <w:t>–</w:t>
      </w:r>
      <w:r w:rsidRPr="006F2FFB">
        <w:t xml:space="preserve"> объем единой субвенции бюджету i-го муниципального образования).</w:t>
      </w:r>
    </w:p>
    <w:p w:rsidR="009C2451" w:rsidRPr="006F2FFB" w:rsidRDefault="009C2451" w:rsidP="009C2451">
      <w:pPr>
        <w:pStyle w:val="ConsPlusNormal"/>
        <w:ind w:firstLine="709"/>
        <w:jc w:val="both"/>
      </w:pPr>
      <w:r>
        <w:t>3</w:t>
      </w:r>
      <w:r w:rsidRPr="006F2FFB">
        <w:t>. Объем единой субвенции бюджету i-го муниципального образования рассчитывается по формуле:</w:t>
      </w:r>
    </w:p>
    <w:p w:rsidR="009C2451" w:rsidRPr="006F2FFB" w:rsidRDefault="009C2451" w:rsidP="009C2451">
      <w:pPr>
        <w:pStyle w:val="ConsPlusNormal"/>
        <w:jc w:val="both"/>
      </w:pPr>
    </w:p>
    <w:p w:rsidR="009C2451" w:rsidRPr="006F2FFB" w:rsidRDefault="009C2451" w:rsidP="009C2451">
      <w:pPr>
        <w:pStyle w:val="ConsPlusNormal"/>
        <w:jc w:val="center"/>
      </w:pPr>
      <w:r w:rsidRPr="006F2FFB">
        <w:rPr>
          <w:noProof/>
          <w:position w:val="-28"/>
        </w:rPr>
        <w:drawing>
          <wp:inline distT="0" distB="0" distL="0" distR="0">
            <wp:extent cx="1123950" cy="495300"/>
            <wp:effectExtent l="0" t="0" r="0" b="0"/>
            <wp:docPr id="4" name="Рисунок 1" descr="base_23942_7620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942_76203_3276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451" w:rsidRPr="006F2FFB" w:rsidRDefault="009C2451" w:rsidP="009C2451">
      <w:pPr>
        <w:pStyle w:val="ConsPlusNormal"/>
        <w:jc w:val="both"/>
      </w:pPr>
    </w:p>
    <w:p w:rsidR="009C2451" w:rsidRPr="006F2FFB" w:rsidRDefault="009C2451" w:rsidP="009C2451">
      <w:pPr>
        <w:pStyle w:val="ConsPlusNormal"/>
        <w:ind w:firstLine="709"/>
        <w:jc w:val="both"/>
      </w:pPr>
      <w:proofErr w:type="spellStart"/>
      <w:r w:rsidRPr="006F2FFB">
        <w:t>j</w:t>
      </w:r>
      <w:proofErr w:type="spellEnd"/>
      <w:r w:rsidRPr="006F2FFB">
        <w:t xml:space="preserve"> </w:t>
      </w:r>
      <w:r>
        <w:t>–</w:t>
      </w:r>
      <w:r w:rsidRPr="006F2FFB">
        <w:t xml:space="preserve"> вид субвенции, формирующей единую субвенцию, предусмотре</w:t>
      </w:r>
      <w:r w:rsidRPr="006F2FFB">
        <w:t>н</w:t>
      </w:r>
      <w:r w:rsidRPr="006F2FFB">
        <w:t>ной бюджету i-го муниципального образования;</w:t>
      </w:r>
    </w:p>
    <w:p w:rsidR="009C2451" w:rsidRPr="006F2FFB" w:rsidRDefault="009C2451" w:rsidP="009C2451">
      <w:pPr>
        <w:pStyle w:val="ConsPlusNormal"/>
        <w:ind w:firstLine="709"/>
        <w:jc w:val="both"/>
      </w:pPr>
      <w:proofErr w:type="spellStart"/>
      <w:r w:rsidRPr="006F2FFB">
        <w:t>m</w:t>
      </w:r>
      <w:proofErr w:type="spellEnd"/>
      <w:r w:rsidRPr="006F2FFB">
        <w:t xml:space="preserve"> </w:t>
      </w:r>
      <w:r>
        <w:t>–</w:t>
      </w:r>
      <w:r w:rsidRPr="006F2FFB">
        <w:t xml:space="preserve"> количество видов субвенций, формирующих единую субвенцию, предусмотренных бюджету i-го муниципального образования;</w:t>
      </w:r>
    </w:p>
    <w:p w:rsidR="009C2451" w:rsidRDefault="009C2451" w:rsidP="009C2451">
      <w:pPr>
        <w:pStyle w:val="ConsPlusNormal"/>
        <w:ind w:firstLine="709"/>
        <w:jc w:val="both"/>
      </w:pPr>
      <w:proofErr w:type="spellStart"/>
      <w:r w:rsidRPr="006F2FFB">
        <w:t>V</w:t>
      </w:r>
      <w:r w:rsidRPr="006F2FFB">
        <w:rPr>
          <w:vertAlign w:val="subscript"/>
        </w:rPr>
        <w:t>ij</w:t>
      </w:r>
      <w:proofErr w:type="spellEnd"/>
      <w:r w:rsidRPr="006F2FFB">
        <w:t xml:space="preserve"> </w:t>
      </w:r>
      <w:r>
        <w:t>–</w:t>
      </w:r>
      <w:r w:rsidRPr="006F2FFB">
        <w:t xml:space="preserve"> объем субвенции j-го вида, определенный для бюджета i-го мун</w:t>
      </w:r>
      <w:r w:rsidRPr="006F2FFB">
        <w:t>и</w:t>
      </w:r>
      <w:r w:rsidRPr="006F2FFB">
        <w:t>ципального образования в соответствии с утвержденной законом Оренбур</w:t>
      </w:r>
      <w:r w:rsidRPr="006F2FFB">
        <w:t>г</w:t>
      </w:r>
      <w:r w:rsidRPr="006F2FFB">
        <w:t>ской области методикой распределения субвенции j-го вида.</w:t>
      </w:r>
    </w:p>
    <w:p w:rsidR="009C2451" w:rsidRPr="00606ABF" w:rsidRDefault="009C2451" w:rsidP="009C2451">
      <w:pPr>
        <w:pStyle w:val="ConsPlusNormal"/>
        <w:ind w:firstLine="709"/>
        <w:jc w:val="both"/>
      </w:pPr>
      <w:r w:rsidRPr="00606ABF">
        <w:t>4. Исполнительные органы государственной власти Оренбургской о</w:t>
      </w:r>
      <w:r w:rsidRPr="00606ABF">
        <w:t>б</w:t>
      </w:r>
      <w:r w:rsidRPr="00606ABF">
        <w:t xml:space="preserve">ласти, осуществляющие функции по выработке государственной политики и нормативно-правовому регулированию в </w:t>
      </w:r>
      <w:proofErr w:type="gramStart"/>
      <w:r w:rsidRPr="00606ABF">
        <w:t>сферах</w:t>
      </w:r>
      <w:proofErr w:type="gramEnd"/>
      <w:r w:rsidRPr="00606ABF">
        <w:t xml:space="preserve"> переданных для осущест</w:t>
      </w:r>
      <w:r w:rsidRPr="00606ABF">
        <w:t>в</w:t>
      </w:r>
      <w:r w:rsidRPr="00606ABF">
        <w:t>ления органам местного самоуправления муниципальных образований по</w:t>
      </w:r>
      <w:r w:rsidRPr="00606ABF">
        <w:t>л</w:t>
      </w:r>
      <w:r w:rsidRPr="00606ABF">
        <w:t>номочий Оренбургской области (далее – уполномоченные исполнительные органы государственной власти), представляют проект</w:t>
      </w:r>
      <w:r>
        <w:t>ы</w:t>
      </w:r>
      <w:r w:rsidRPr="00606ABF">
        <w:t xml:space="preserve"> распределения су</w:t>
      </w:r>
      <w:r w:rsidRPr="00606ABF">
        <w:t>б</w:t>
      </w:r>
      <w:r w:rsidRPr="00606ABF">
        <w:t>венций на очередной финансовый год и плановый период, формирующих единую субвенцию, в министерство финансов Оренбургской области до 25 июля текущего года.</w:t>
      </w:r>
    </w:p>
    <w:p w:rsidR="009C2451" w:rsidRDefault="009C2451" w:rsidP="009C2451">
      <w:pPr>
        <w:pStyle w:val="ConsPlusNormal"/>
        <w:ind w:firstLine="709"/>
        <w:jc w:val="both"/>
      </w:pPr>
      <w:r w:rsidRPr="00606ABF">
        <w:lastRenderedPageBreak/>
        <w:t xml:space="preserve">5. </w:t>
      </w:r>
      <w:r>
        <w:t>Общий объем единой субвенции и его распределение между мес</w:t>
      </w:r>
      <w:r>
        <w:t>т</w:t>
      </w:r>
      <w:r>
        <w:t>ными бюджетами утверждается законом Оренбургской области об областном бюджете на очередной финансовый год и плановый период (далее – закон о бюджете).</w:t>
      </w:r>
    </w:p>
    <w:p w:rsidR="009C2451" w:rsidRDefault="009C2451" w:rsidP="009C2451">
      <w:pPr>
        <w:pStyle w:val="ConsPlusNormal"/>
        <w:ind w:firstLine="709"/>
        <w:jc w:val="both"/>
      </w:pPr>
      <w:r w:rsidRPr="00606ABF">
        <w:t>Единая субвенция предоставляется бюджетам муниципальных обра</w:t>
      </w:r>
      <w:r w:rsidRPr="006F2FFB">
        <w:t>з</w:t>
      </w:r>
      <w:r w:rsidRPr="006F2FFB">
        <w:t>о</w:t>
      </w:r>
      <w:r w:rsidRPr="006F2FFB">
        <w:t>ваний в пределах бюджетных ассигнований на ее предоставление, пред</w:t>
      </w:r>
      <w:r w:rsidRPr="006F2FFB">
        <w:t>у</w:t>
      </w:r>
      <w:r w:rsidRPr="006F2FFB">
        <w:t xml:space="preserve">смотренных </w:t>
      </w:r>
      <w:r>
        <w:t>министерству финансов Оренбургской области в законе о бю</w:t>
      </w:r>
      <w:r>
        <w:t>д</w:t>
      </w:r>
      <w:r>
        <w:t>жете</w:t>
      </w:r>
      <w:r w:rsidRPr="006F2FFB">
        <w:t>.</w:t>
      </w:r>
    </w:p>
    <w:p w:rsidR="009C2451" w:rsidRDefault="009C2451" w:rsidP="009C2451">
      <w:pPr>
        <w:pStyle w:val="ConsPlusNormal"/>
        <w:ind w:firstLine="709"/>
        <w:jc w:val="both"/>
      </w:pPr>
      <w:r w:rsidRPr="00606ABF">
        <w:t>6. </w:t>
      </w:r>
      <w:proofErr w:type="gramStart"/>
      <w:r w:rsidRPr="00606ABF">
        <w:t>Перечисление единой субвенции из областного бюджета бюджетам муниципальных образований осуществляется на счета, открытые Управл</w:t>
      </w:r>
      <w:r w:rsidRPr="00606ABF">
        <w:t>е</w:t>
      </w:r>
      <w:r w:rsidRPr="00606ABF">
        <w:t xml:space="preserve">нию Федерального казначейства </w:t>
      </w:r>
      <w:r>
        <w:t xml:space="preserve">по </w:t>
      </w:r>
      <w:r w:rsidRPr="00606ABF">
        <w:t>Оренбургской области для учета посту</w:t>
      </w:r>
      <w:r w:rsidRPr="00606ABF">
        <w:t>п</w:t>
      </w:r>
      <w:r w:rsidRPr="00606ABF">
        <w:t xml:space="preserve">лений и их распределения между бюджетами </w:t>
      </w:r>
      <w:r>
        <w:t>бюджетной системы Росси</w:t>
      </w:r>
      <w:r>
        <w:t>й</w:t>
      </w:r>
      <w:r>
        <w:t>ской Федерации</w:t>
      </w:r>
      <w:r w:rsidRPr="00606ABF">
        <w:t xml:space="preserve">, для последующего перечисления в установленном порядке в бюджеты муниципальных образований с учетом порядка осуществления Управлением Федерального казначейства </w:t>
      </w:r>
      <w:r>
        <w:t xml:space="preserve">по </w:t>
      </w:r>
      <w:r w:rsidRPr="00606ABF">
        <w:t>Оренбургской области полн</w:t>
      </w:r>
      <w:r w:rsidRPr="00606ABF">
        <w:t>о</w:t>
      </w:r>
      <w:r w:rsidRPr="00606ABF">
        <w:t>мочий получателя средств областного бюджета по перечислению в бюджеты</w:t>
      </w:r>
      <w:proofErr w:type="gramEnd"/>
      <w:r w:rsidRPr="00606ABF">
        <w:t xml:space="preserve"> муниципальных образований единой субвенции в пределах суммы, необх</w:t>
      </w:r>
      <w:r w:rsidRPr="00606ABF">
        <w:t>о</w:t>
      </w:r>
      <w:r w:rsidRPr="00606ABF">
        <w:t>димой для оплаты денежных обязательств по расходам получателей средств бюджета муниципального образования, источником финансового обеспеч</w:t>
      </w:r>
      <w:r w:rsidRPr="00606ABF">
        <w:t>е</w:t>
      </w:r>
      <w:r w:rsidRPr="00606ABF">
        <w:t>ния которых является единая субвенция (в случае передачи таких полном</w:t>
      </w:r>
      <w:r w:rsidRPr="00606ABF">
        <w:t>о</w:t>
      </w:r>
      <w:r w:rsidRPr="00606ABF">
        <w:t>чий).</w:t>
      </w:r>
    </w:p>
    <w:p w:rsidR="009C2451" w:rsidRDefault="009C2451" w:rsidP="009C2451">
      <w:pPr>
        <w:pStyle w:val="ConsPlusNormal"/>
        <w:ind w:firstLine="709"/>
        <w:jc w:val="both"/>
      </w:pPr>
      <w:r>
        <w:t>7</w:t>
      </w:r>
      <w:r w:rsidRPr="002A3F6E">
        <w:t xml:space="preserve">. Органы местного самоуправления представляют в министерство </w:t>
      </w:r>
      <w:r>
        <w:t>ф</w:t>
      </w:r>
      <w:r>
        <w:t>и</w:t>
      </w:r>
      <w:r>
        <w:t>нансов Оренбургской области и</w:t>
      </w:r>
      <w:r w:rsidRPr="002A3F6E">
        <w:t xml:space="preserve"> уполномоченные исполнительн</w:t>
      </w:r>
      <w:r>
        <w:t>ые</w:t>
      </w:r>
      <w:r w:rsidRPr="002A3F6E">
        <w:t xml:space="preserve"> органы </w:t>
      </w:r>
      <w:r>
        <w:t xml:space="preserve">государственной </w:t>
      </w:r>
      <w:r w:rsidRPr="002A3F6E">
        <w:t>власти отчет о расходах бюджета муниципального образ</w:t>
      </w:r>
      <w:r w:rsidRPr="002A3F6E">
        <w:t>о</w:t>
      </w:r>
      <w:r w:rsidRPr="002A3F6E">
        <w:t>вания, источником финансового обеспечения которых является единая су</w:t>
      </w:r>
      <w:r w:rsidRPr="002A3F6E">
        <w:t>б</w:t>
      </w:r>
      <w:r w:rsidRPr="002A3F6E">
        <w:t xml:space="preserve">венция, по форме и в сроки, устанавливаемые министерством </w:t>
      </w:r>
      <w:r>
        <w:t>финансов Оренбургской области</w:t>
      </w:r>
      <w:r w:rsidRPr="002A3F6E">
        <w:t>.</w:t>
      </w:r>
    </w:p>
    <w:p w:rsidR="009C2451" w:rsidRPr="00606ABF" w:rsidRDefault="009C2451" w:rsidP="009C2451">
      <w:pPr>
        <w:pStyle w:val="ConsPlusNormal"/>
        <w:ind w:firstLine="709"/>
        <w:jc w:val="both"/>
      </w:pPr>
      <w:r w:rsidRPr="00606ABF">
        <w:t>8. Не использованный в отчетном финансовом году остаток единой субвенции подлежит возврату в доход областного бюджета органами местн</w:t>
      </w:r>
      <w:r w:rsidRPr="00606ABF">
        <w:t>о</w:t>
      </w:r>
      <w:r w:rsidRPr="00606ABF">
        <w:t>го самоуправления, за которыми в соответствии с муниципальными прав</w:t>
      </w:r>
      <w:r w:rsidRPr="00606ABF">
        <w:t>о</w:t>
      </w:r>
      <w:r w:rsidRPr="00606ABF">
        <w:t>выми актами закреплены источники доходов местных бюджетов по возврату остатков единой субвенции, в соответствии с требованиями, установленными бюджетным законодательством Российской Федерации.</w:t>
      </w:r>
    </w:p>
    <w:p w:rsidR="009C2451" w:rsidRDefault="009C2451" w:rsidP="009C2451">
      <w:pPr>
        <w:pStyle w:val="ConsPlusNormal"/>
        <w:ind w:firstLine="709"/>
        <w:jc w:val="both"/>
      </w:pPr>
      <w:r w:rsidRPr="00606ABF">
        <w:t>9. </w:t>
      </w:r>
      <w:proofErr w:type="gramStart"/>
      <w:r w:rsidRPr="00606ABF">
        <w:t>В случае</w:t>
      </w:r>
      <w:r>
        <w:t>,</w:t>
      </w:r>
      <w:r w:rsidRPr="00606ABF">
        <w:t xml:space="preserve"> если неиспользованный остаток единой субвенции не п</w:t>
      </w:r>
      <w:r w:rsidRPr="00606ABF">
        <w:t>е</w:t>
      </w:r>
      <w:r w:rsidRPr="00606ABF">
        <w:t>речислен в доход областного бюджета, взыскание неиспользованного остатка единой субвенции в доход областного бюджета осуществляется в порядке, определяемом министерством финансов Оренбургской области, с соблюд</w:t>
      </w:r>
      <w:r w:rsidRPr="00606ABF">
        <w:t>е</w:t>
      </w:r>
      <w:r w:rsidRPr="00606ABF">
        <w:t>нием общих требований, установленных Министерством финансов Росси</w:t>
      </w:r>
      <w:r w:rsidRPr="00606ABF">
        <w:t>й</w:t>
      </w:r>
      <w:r w:rsidRPr="00606ABF">
        <w:t xml:space="preserve">ской Федерации. </w:t>
      </w:r>
      <w:proofErr w:type="gramEnd"/>
    </w:p>
    <w:p w:rsidR="009C2451" w:rsidRDefault="009C2451" w:rsidP="009C2451">
      <w:pPr>
        <w:pStyle w:val="ConsPlusNormal"/>
        <w:ind w:firstLine="709"/>
        <w:jc w:val="both"/>
      </w:pPr>
      <w:r w:rsidRPr="00606ABF">
        <w:t>10. </w:t>
      </w:r>
      <w:proofErr w:type="gramStart"/>
      <w:r w:rsidRPr="00606ABF">
        <w:t>Целевые показатели эффективности деятельности органов местного самоуправления Оренбургской области по осуществлению переданных им полномочий Оренбургской области, при выполнении которых возникают расходные обязательства городских округов и муниципальных районов Оренбургской области, на исполнение которых предусмотрены субвенции, формирующие единую субвенцию (далее – целевые показатели), в целях э</w:t>
      </w:r>
      <w:r w:rsidRPr="00606ABF">
        <w:t>ф</w:t>
      </w:r>
      <w:r w:rsidRPr="00606ABF">
        <w:lastRenderedPageBreak/>
        <w:t>фективности предоставления местным бюджетам единой субвенции утве</w:t>
      </w:r>
      <w:r w:rsidRPr="00606ABF">
        <w:t>р</w:t>
      </w:r>
      <w:r w:rsidRPr="00606ABF">
        <w:t>ждаются Правительством Оренбургской области.</w:t>
      </w:r>
      <w:proofErr w:type="gramEnd"/>
    </w:p>
    <w:p w:rsidR="009C2451" w:rsidRDefault="009C2451" w:rsidP="009C2451">
      <w:pPr>
        <w:pStyle w:val="ConsPlusNormal"/>
        <w:ind w:firstLine="709"/>
        <w:jc w:val="both"/>
      </w:pPr>
      <w:r>
        <w:t>11</w:t>
      </w:r>
      <w:r w:rsidRPr="006F2FFB">
        <w:t>.</w:t>
      </w:r>
      <w:r>
        <w:t> </w:t>
      </w:r>
      <w:r w:rsidRPr="002A3F6E">
        <w:t>Значения целевых показателей</w:t>
      </w:r>
      <w:r>
        <w:t xml:space="preserve"> по муниципальным образованиям утверждаются уполномоченными исполнительными органами государстве</w:t>
      </w:r>
      <w:r>
        <w:t>н</w:t>
      </w:r>
      <w:r>
        <w:t>ной власти до начала года, в котором осуществляется предоставление единой субвенции.</w:t>
      </w:r>
    </w:p>
    <w:p w:rsidR="009C2451" w:rsidRDefault="009C2451" w:rsidP="009C2451">
      <w:pPr>
        <w:pStyle w:val="ConsPlusNormal"/>
        <w:ind w:firstLine="709"/>
        <w:jc w:val="both"/>
      </w:pPr>
      <w:r>
        <w:t>12. Органы местного самоуправления представляют в уполномоченные исполнительные органы государственной власти отчет, содержащий свед</w:t>
      </w:r>
      <w:r>
        <w:t>е</w:t>
      </w:r>
      <w:r>
        <w:t>ния о фактически достигнутых значениях целевых показателей, по форме и в сроки, устанавливаемые уполномоченными исполнительными органами г</w:t>
      </w:r>
      <w:r>
        <w:t>о</w:t>
      </w:r>
      <w:r>
        <w:t>сударственной власти.</w:t>
      </w:r>
    </w:p>
    <w:p w:rsidR="009C2451" w:rsidRDefault="009C2451" w:rsidP="009C2451">
      <w:pPr>
        <w:pStyle w:val="ConsPlusNormal"/>
        <w:ind w:firstLine="709"/>
        <w:jc w:val="both"/>
      </w:pPr>
      <w:proofErr w:type="gramStart"/>
      <w:r>
        <w:t>Контроль за</w:t>
      </w:r>
      <w:proofErr w:type="gramEnd"/>
      <w:r>
        <w:t xml:space="preserve"> осуществлением органами местного самоуправления пер</w:t>
      </w:r>
      <w:r>
        <w:t>е</w:t>
      </w:r>
      <w:r>
        <w:t>данных полномочий, соблюдением ими условий, целей и порядка предоста</w:t>
      </w:r>
      <w:r>
        <w:t>в</w:t>
      </w:r>
      <w:r>
        <w:t>ления из областного бюджета субвенций, формирующих единую субвенцию, а также за достижением органами местного самоуправления значений цел</w:t>
      </w:r>
      <w:r>
        <w:t>е</w:t>
      </w:r>
      <w:r>
        <w:t>вых показателей осуществляется уполномоченными исполнительными орг</w:t>
      </w:r>
      <w:r>
        <w:t>а</w:t>
      </w:r>
      <w:r>
        <w:t>нами государственной власти.</w:t>
      </w:r>
    </w:p>
    <w:p w:rsidR="009C2451" w:rsidRDefault="009C2451" w:rsidP="009C2451">
      <w:pPr>
        <w:pStyle w:val="ConsPlusNormal"/>
        <w:ind w:firstLine="709"/>
        <w:jc w:val="both"/>
      </w:pPr>
      <w:r>
        <w:t xml:space="preserve">13. </w:t>
      </w:r>
      <w:proofErr w:type="gramStart"/>
      <w:r>
        <w:t>Оценка эффективности деятельности органов местного самоупра</w:t>
      </w:r>
      <w:r>
        <w:t>в</w:t>
      </w:r>
      <w:r>
        <w:t>ления по осуществлению переданных им полномочий Оренбургской области, при выполнении которых возникают расходные обязательства муниципал</w:t>
      </w:r>
      <w:r>
        <w:t>ь</w:t>
      </w:r>
      <w:r>
        <w:t>ных образований, на исполнение которых предусмотрены субвенции, форм</w:t>
      </w:r>
      <w:r>
        <w:t>и</w:t>
      </w:r>
      <w:r>
        <w:t>рующие единую субвенцию, осуществляется уполномоченными исполн</w:t>
      </w:r>
      <w:r>
        <w:t>и</w:t>
      </w:r>
      <w:r>
        <w:t>тельными органами государственной власти в порядке, установленном соо</w:t>
      </w:r>
      <w:r>
        <w:t>т</w:t>
      </w:r>
      <w:r>
        <w:t>ветствующим уполномоченным исполнительным органом государственной власти, исходя из сравнения фактически достигнутых значений целевых п</w:t>
      </w:r>
      <w:r>
        <w:t>о</w:t>
      </w:r>
      <w:r>
        <w:t>казателей со значениями целевых показателей, утвержденными в соответс</w:t>
      </w:r>
      <w:r>
        <w:t>т</w:t>
      </w:r>
      <w:r>
        <w:t>вии с</w:t>
      </w:r>
      <w:proofErr w:type="gramEnd"/>
      <w:r>
        <w:t xml:space="preserve"> пунктом 11 настоящего Порядка.</w:t>
      </w:r>
    </w:p>
    <w:p w:rsidR="009C2451" w:rsidRDefault="009C2451" w:rsidP="009C2451">
      <w:pPr>
        <w:pStyle w:val="ConsPlusNormal"/>
        <w:ind w:firstLine="709"/>
        <w:jc w:val="both"/>
      </w:pPr>
      <w:r>
        <w:t xml:space="preserve">14. </w:t>
      </w:r>
      <w:proofErr w:type="gramStart"/>
      <w:r>
        <w:t xml:space="preserve">В случае </w:t>
      </w:r>
      <w:proofErr w:type="spellStart"/>
      <w:r>
        <w:t>недостижения</w:t>
      </w:r>
      <w:proofErr w:type="spellEnd"/>
      <w:r>
        <w:t xml:space="preserve"> муниципальными образованиями значений показателей эффективности уполномоченный исполнительный орган гос</w:t>
      </w:r>
      <w:r>
        <w:t>у</w:t>
      </w:r>
      <w:r>
        <w:t>дарственной власти дает письменные предписания по устранению таких н</w:t>
      </w:r>
      <w:r>
        <w:t>а</w:t>
      </w:r>
      <w:r>
        <w:t>рушений, обязательные для исполнения муниципальными образованиями и должностными лицами местного самоуправления.</w:t>
      </w:r>
      <w:proofErr w:type="gramEnd"/>
    </w:p>
    <w:p w:rsidR="009C2451" w:rsidRDefault="009C2451" w:rsidP="009C2451">
      <w:pPr>
        <w:pStyle w:val="ConsPlusNormal"/>
        <w:ind w:firstLine="709"/>
        <w:jc w:val="both"/>
      </w:pPr>
      <w:r>
        <w:t>15</w:t>
      </w:r>
      <w:r w:rsidRPr="006F2FFB">
        <w:t xml:space="preserve">. </w:t>
      </w:r>
      <w:proofErr w:type="gramStart"/>
      <w:r w:rsidRPr="006F2FFB">
        <w:t>Объемы осуществляемых за счет предоставляемой бюджету мун</w:t>
      </w:r>
      <w:r w:rsidRPr="006F2FFB">
        <w:t>и</w:t>
      </w:r>
      <w:r w:rsidRPr="006F2FFB">
        <w:t>ципального образования из областного бюджета единой субвенции расходов муниципального образования на осуществление переданных органам местн</w:t>
      </w:r>
      <w:r w:rsidRPr="006F2FFB">
        <w:t>о</w:t>
      </w:r>
      <w:r w:rsidRPr="006F2FFB">
        <w:t>го самоуправления полномочий Оренбургской области, в целях финансового обеспечения которых предусмотрены субвенции, формирующие единую су</w:t>
      </w:r>
      <w:r w:rsidRPr="006F2FFB">
        <w:t>б</w:t>
      </w:r>
      <w:r w:rsidRPr="006F2FFB">
        <w:t>венцию, утверждаются муниципальным правовым актом представительного органа муниципального образования о местном бюджете</w:t>
      </w:r>
      <w:r>
        <w:t>.</w:t>
      </w:r>
      <w:proofErr w:type="gramEnd"/>
    </w:p>
    <w:p w:rsidR="009C2451" w:rsidRDefault="009C2451" w:rsidP="009C2451">
      <w:pPr>
        <w:pStyle w:val="ConsPlusNormal"/>
        <w:ind w:firstLine="709"/>
        <w:jc w:val="both"/>
      </w:pPr>
      <w:r>
        <w:t>При налич</w:t>
      </w:r>
      <w:proofErr w:type="gramStart"/>
      <w:r>
        <w:t>ии у о</w:t>
      </w:r>
      <w:proofErr w:type="gramEnd"/>
      <w:r>
        <w:t>рганов местного самоуправления необходимости в п</w:t>
      </w:r>
      <w:r>
        <w:t>е</w:t>
      </w:r>
      <w:r>
        <w:t>рераспределении указанного объема единой субвенции данное перераспред</w:t>
      </w:r>
      <w:r>
        <w:t>е</w:t>
      </w:r>
      <w:r>
        <w:t>ление осуществляется путем внесения в решение о местном бюджете (сво</w:t>
      </w:r>
      <w:r>
        <w:t>д</w:t>
      </w:r>
      <w:r>
        <w:t>ную бюджетную роспись) соответствующих изменений</w:t>
      </w:r>
      <w:r w:rsidRPr="00A62853">
        <w:t>.</w:t>
      </w:r>
    </w:p>
    <w:p w:rsidR="00606ABF" w:rsidRPr="00606ABF" w:rsidRDefault="00606ABF" w:rsidP="009C2451">
      <w:pPr>
        <w:pStyle w:val="ConsPlusNormal"/>
        <w:ind w:firstLine="709"/>
        <w:jc w:val="both"/>
      </w:pPr>
    </w:p>
    <w:sectPr w:rsidR="00606ABF" w:rsidRPr="00606ABF" w:rsidSect="00C44F7C">
      <w:headerReference w:type="default" r:id="rId10"/>
      <w:pgSz w:w="11905" w:h="16838"/>
      <w:pgMar w:top="1134" w:right="850" w:bottom="1134" w:left="1701" w:header="568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36D" w:rsidRDefault="00F1136D" w:rsidP="007A367D">
      <w:r>
        <w:separator/>
      </w:r>
    </w:p>
  </w:endnote>
  <w:endnote w:type="continuationSeparator" w:id="0">
    <w:p w:rsidR="00F1136D" w:rsidRDefault="00F1136D" w:rsidP="007A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36D" w:rsidRDefault="00F1136D" w:rsidP="007A367D">
      <w:r>
        <w:separator/>
      </w:r>
    </w:p>
  </w:footnote>
  <w:footnote w:type="continuationSeparator" w:id="0">
    <w:p w:rsidR="00F1136D" w:rsidRDefault="00F1136D" w:rsidP="007A3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60B" w:rsidRDefault="00F378F7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9C245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F0C24"/>
    <w:multiLevelType w:val="hybridMultilevel"/>
    <w:tmpl w:val="7BDC40D4"/>
    <w:lvl w:ilvl="0" w:tplc="2AB85ED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EE3"/>
    <w:rsid w:val="0000684C"/>
    <w:rsid w:val="00006D24"/>
    <w:rsid w:val="00016DE0"/>
    <w:rsid w:val="0002263F"/>
    <w:rsid w:val="00025DDC"/>
    <w:rsid w:val="0002682D"/>
    <w:rsid w:val="00030CED"/>
    <w:rsid w:val="00032C4F"/>
    <w:rsid w:val="00043620"/>
    <w:rsid w:val="000460E8"/>
    <w:rsid w:val="00046A73"/>
    <w:rsid w:val="000523D8"/>
    <w:rsid w:val="00053574"/>
    <w:rsid w:val="00057E32"/>
    <w:rsid w:val="00062883"/>
    <w:rsid w:val="000653B8"/>
    <w:rsid w:val="000656F1"/>
    <w:rsid w:val="00076412"/>
    <w:rsid w:val="00083DA9"/>
    <w:rsid w:val="0008700E"/>
    <w:rsid w:val="00091F8B"/>
    <w:rsid w:val="000975D4"/>
    <w:rsid w:val="000A261A"/>
    <w:rsid w:val="000A7BEC"/>
    <w:rsid w:val="000B2304"/>
    <w:rsid w:val="000B56F4"/>
    <w:rsid w:val="000B5ECE"/>
    <w:rsid w:val="000C3115"/>
    <w:rsid w:val="000E0010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1F4A"/>
    <w:rsid w:val="001409A4"/>
    <w:rsid w:val="0014361A"/>
    <w:rsid w:val="00150613"/>
    <w:rsid w:val="00154904"/>
    <w:rsid w:val="00175E90"/>
    <w:rsid w:val="001801FC"/>
    <w:rsid w:val="001815A9"/>
    <w:rsid w:val="001819C4"/>
    <w:rsid w:val="00181BC4"/>
    <w:rsid w:val="001835C9"/>
    <w:rsid w:val="001836C0"/>
    <w:rsid w:val="001855F3"/>
    <w:rsid w:val="00192954"/>
    <w:rsid w:val="001953B5"/>
    <w:rsid w:val="001959BF"/>
    <w:rsid w:val="00195A0E"/>
    <w:rsid w:val="001973E1"/>
    <w:rsid w:val="001A4DE6"/>
    <w:rsid w:val="001B2158"/>
    <w:rsid w:val="001E3E72"/>
    <w:rsid w:val="001E7C7D"/>
    <w:rsid w:val="001F038F"/>
    <w:rsid w:val="001F20C4"/>
    <w:rsid w:val="001F52E5"/>
    <w:rsid w:val="00200112"/>
    <w:rsid w:val="002047F7"/>
    <w:rsid w:val="00205188"/>
    <w:rsid w:val="00207ED1"/>
    <w:rsid w:val="00235422"/>
    <w:rsid w:val="00236245"/>
    <w:rsid w:val="00241C0B"/>
    <w:rsid w:val="00254478"/>
    <w:rsid w:val="00262106"/>
    <w:rsid w:val="00274CDE"/>
    <w:rsid w:val="002754DA"/>
    <w:rsid w:val="00276AF4"/>
    <w:rsid w:val="002867C8"/>
    <w:rsid w:val="00294734"/>
    <w:rsid w:val="00296FF3"/>
    <w:rsid w:val="002A336F"/>
    <w:rsid w:val="002A3F6E"/>
    <w:rsid w:val="002A5DEE"/>
    <w:rsid w:val="002A65E7"/>
    <w:rsid w:val="002A76C7"/>
    <w:rsid w:val="002B6E4B"/>
    <w:rsid w:val="002C1CB3"/>
    <w:rsid w:val="002C27CF"/>
    <w:rsid w:val="002C5D32"/>
    <w:rsid w:val="002D2F3A"/>
    <w:rsid w:val="002E1DFF"/>
    <w:rsid w:val="002E45C2"/>
    <w:rsid w:val="002E681A"/>
    <w:rsid w:val="002F0F66"/>
    <w:rsid w:val="002F5345"/>
    <w:rsid w:val="00304A9B"/>
    <w:rsid w:val="00304DC9"/>
    <w:rsid w:val="003108B7"/>
    <w:rsid w:val="00313946"/>
    <w:rsid w:val="00315EBC"/>
    <w:rsid w:val="003203AA"/>
    <w:rsid w:val="00323AB7"/>
    <w:rsid w:val="00330D86"/>
    <w:rsid w:val="00334517"/>
    <w:rsid w:val="0034023F"/>
    <w:rsid w:val="00353B49"/>
    <w:rsid w:val="00353C2F"/>
    <w:rsid w:val="003570B0"/>
    <w:rsid w:val="00366DD3"/>
    <w:rsid w:val="003754C4"/>
    <w:rsid w:val="003823E0"/>
    <w:rsid w:val="003839A7"/>
    <w:rsid w:val="003859CC"/>
    <w:rsid w:val="00387AA5"/>
    <w:rsid w:val="003A4305"/>
    <w:rsid w:val="003A55CB"/>
    <w:rsid w:val="003B63F7"/>
    <w:rsid w:val="003C0967"/>
    <w:rsid w:val="003C46F7"/>
    <w:rsid w:val="003D5606"/>
    <w:rsid w:val="003D7A30"/>
    <w:rsid w:val="003D7F62"/>
    <w:rsid w:val="003E30DB"/>
    <w:rsid w:val="004127E3"/>
    <w:rsid w:val="004163C4"/>
    <w:rsid w:val="00416EF4"/>
    <w:rsid w:val="00416FDC"/>
    <w:rsid w:val="0042135B"/>
    <w:rsid w:val="0042365E"/>
    <w:rsid w:val="00424236"/>
    <w:rsid w:val="004334DB"/>
    <w:rsid w:val="00442269"/>
    <w:rsid w:val="00443687"/>
    <w:rsid w:val="00444D45"/>
    <w:rsid w:val="00446ED9"/>
    <w:rsid w:val="00452D15"/>
    <w:rsid w:val="004534DA"/>
    <w:rsid w:val="0046427E"/>
    <w:rsid w:val="00477BB4"/>
    <w:rsid w:val="00485244"/>
    <w:rsid w:val="004918C1"/>
    <w:rsid w:val="00497CDD"/>
    <w:rsid w:val="004A0221"/>
    <w:rsid w:val="004A07D9"/>
    <w:rsid w:val="004A11A8"/>
    <w:rsid w:val="004A7B71"/>
    <w:rsid w:val="004B06B4"/>
    <w:rsid w:val="004B4667"/>
    <w:rsid w:val="004B472F"/>
    <w:rsid w:val="004C6C0F"/>
    <w:rsid w:val="004D0AF5"/>
    <w:rsid w:val="004D455B"/>
    <w:rsid w:val="004E196C"/>
    <w:rsid w:val="004E51AD"/>
    <w:rsid w:val="004E7C89"/>
    <w:rsid w:val="004F0010"/>
    <w:rsid w:val="004F1F3E"/>
    <w:rsid w:val="005012C6"/>
    <w:rsid w:val="00505198"/>
    <w:rsid w:val="005175E7"/>
    <w:rsid w:val="00517D6C"/>
    <w:rsid w:val="00527D44"/>
    <w:rsid w:val="00535D51"/>
    <w:rsid w:val="00540E80"/>
    <w:rsid w:val="00550453"/>
    <w:rsid w:val="0055623F"/>
    <w:rsid w:val="00562F0E"/>
    <w:rsid w:val="0056621C"/>
    <w:rsid w:val="00571F1D"/>
    <w:rsid w:val="005778F8"/>
    <w:rsid w:val="005800B5"/>
    <w:rsid w:val="00584948"/>
    <w:rsid w:val="0059361E"/>
    <w:rsid w:val="005A2E13"/>
    <w:rsid w:val="005A6A13"/>
    <w:rsid w:val="005B0F4E"/>
    <w:rsid w:val="005C3F67"/>
    <w:rsid w:val="005C7B1F"/>
    <w:rsid w:val="005E2191"/>
    <w:rsid w:val="005F0C11"/>
    <w:rsid w:val="005F6DEA"/>
    <w:rsid w:val="0060460E"/>
    <w:rsid w:val="00606ABF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4715"/>
    <w:rsid w:val="0066047B"/>
    <w:rsid w:val="006605C9"/>
    <w:rsid w:val="00661C36"/>
    <w:rsid w:val="0066552D"/>
    <w:rsid w:val="00680B81"/>
    <w:rsid w:val="0068119B"/>
    <w:rsid w:val="0068136F"/>
    <w:rsid w:val="00684462"/>
    <w:rsid w:val="0069237B"/>
    <w:rsid w:val="00696F1C"/>
    <w:rsid w:val="00697B4E"/>
    <w:rsid w:val="006A03FE"/>
    <w:rsid w:val="006A1529"/>
    <w:rsid w:val="006B369A"/>
    <w:rsid w:val="006B40E7"/>
    <w:rsid w:val="006B478E"/>
    <w:rsid w:val="006B4803"/>
    <w:rsid w:val="006C104F"/>
    <w:rsid w:val="006C4337"/>
    <w:rsid w:val="006D1BAB"/>
    <w:rsid w:val="006E195E"/>
    <w:rsid w:val="006E46DB"/>
    <w:rsid w:val="006F1168"/>
    <w:rsid w:val="006F2FFB"/>
    <w:rsid w:val="006F4469"/>
    <w:rsid w:val="00701FDD"/>
    <w:rsid w:val="00714C2B"/>
    <w:rsid w:val="00715B7D"/>
    <w:rsid w:val="007240D2"/>
    <w:rsid w:val="007304BA"/>
    <w:rsid w:val="00734D22"/>
    <w:rsid w:val="0073727D"/>
    <w:rsid w:val="00752EB6"/>
    <w:rsid w:val="00756A9F"/>
    <w:rsid w:val="007612A3"/>
    <w:rsid w:val="00763FF1"/>
    <w:rsid w:val="00764A4E"/>
    <w:rsid w:val="00765457"/>
    <w:rsid w:val="00771755"/>
    <w:rsid w:val="0077231B"/>
    <w:rsid w:val="00772B7E"/>
    <w:rsid w:val="00780B8C"/>
    <w:rsid w:val="00785C78"/>
    <w:rsid w:val="00786358"/>
    <w:rsid w:val="00787013"/>
    <w:rsid w:val="007A367D"/>
    <w:rsid w:val="007A5C50"/>
    <w:rsid w:val="007B33FB"/>
    <w:rsid w:val="007B36A7"/>
    <w:rsid w:val="007C0843"/>
    <w:rsid w:val="007C0892"/>
    <w:rsid w:val="007D47FA"/>
    <w:rsid w:val="007D4EE3"/>
    <w:rsid w:val="007E3112"/>
    <w:rsid w:val="007E47FC"/>
    <w:rsid w:val="007E610D"/>
    <w:rsid w:val="007F69B8"/>
    <w:rsid w:val="007F7499"/>
    <w:rsid w:val="00801AB5"/>
    <w:rsid w:val="008163EF"/>
    <w:rsid w:val="00824B32"/>
    <w:rsid w:val="0083494D"/>
    <w:rsid w:val="00836E7F"/>
    <w:rsid w:val="008422C0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57E5"/>
    <w:rsid w:val="008B6746"/>
    <w:rsid w:val="008C2BE8"/>
    <w:rsid w:val="008C64B0"/>
    <w:rsid w:val="008C6798"/>
    <w:rsid w:val="008C68B3"/>
    <w:rsid w:val="008D022C"/>
    <w:rsid w:val="008D10FD"/>
    <w:rsid w:val="008D494C"/>
    <w:rsid w:val="008D7240"/>
    <w:rsid w:val="008E7885"/>
    <w:rsid w:val="008F25D1"/>
    <w:rsid w:val="008F7CE5"/>
    <w:rsid w:val="00910215"/>
    <w:rsid w:val="00912830"/>
    <w:rsid w:val="00926720"/>
    <w:rsid w:val="00933BCD"/>
    <w:rsid w:val="0093670F"/>
    <w:rsid w:val="009445D4"/>
    <w:rsid w:val="009517D3"/>
    <w:rsid w:val="0095186A"/>
    <w:rsid w:val="0095725E"/>
    <w:rsid w:val="009723BF"/>
    <w:rsid w:val="00976495"/>
    <w:rsid w:val="009812F4"/>
    <w:rsid w:val="00983FA2"/>
    <w:rsid w:val="009A47D3"/>
    <w:rsid w:val="009A6019"/>
    <w:rsid w:val="009B3392"/>
    <w:rsid w:val="009C2451"/>
    <w:rsid w:val="009D1588"/>
    <w:rsid w:val="009D4454"/>
    <w:rsid w:val="009D5FE5"/>
    <w:rsid w:val="009E714F"/>
    <w:rsid w:val="009E7BB6"/>
    <w:rsid w:val="009F5A21"/>
    <w:rsid w:val="00A039B4"/>
    <w:rsid w:val="00A07B01"/>
    <w:rsid w:val="00A11A74"/>
    <w:rsid w:val="00A1544C"/>
    <w:rsid w:val="00A17930"/>
    <w:rsid w:val="00A4244D"/>
    <w:rsid w:val="00A4274C"/>
    <w:rsid w:val="00A430E3"/>
    <w:rsid w:val="00A4576F"/>
    <w:rsid w:val="00A47DD4"/>
    <w:rsid w:val="00A53D96"/>
    <w:rsid w:val="00A62853"/>
    <w:rsid w:val="00A67C19"/>
    <w:rsid w:val="00A76399"/>
    <w:rsid w:val="00A76AFB"/>
    <w:rsid w:val="00A77A37"/>
    <w:rsid w:val="00A806B6"/>
    <w:rsid w:val="00A82306"/>
    <w:rsid w:val="00A823BC"/>
    <w:rsid w:val="00A836D3"/>
    <w:rsid w:val="00A8663D"/>
    <w:rsid w:val="00A9490C"/>
    <w:rsid w:val="00AA3CA8"/>
    <w:rsid w:val="00AA4190"/>
    <w:rsid w:val="00AB010A"/>
    <w:rsid w:val="00AB2A37"/>
    <w:rsid w:val="00AB5809"/>
    <w:rsid w:val="00AC0BDB"/>
    <w:rsid w:val="00AC36AC"/>
    <w:rsid w:val="00AC61F2"/>
    <w:rsid w:val="00AD00BE"/>
    <w:rsid w:val="00AD2239"/>
    <w:rsid w:val="00AE091A"/>
    <w:rsid w:val="00AE6603"/>
    <w:rsid w:val="00AF3322"/>
    <w:rsid w:val="00AF7D5F"/>
    <w:rsid w:val="00B0505B"/>
    <w:rsid w:val="00B12CD4"/>
    <w:rsid w:val="00B22A72"/>
    <w:rsid w:val="00B24D04"/>
    <w:rsid w:val="00B333C8"/>
    <w:rsid w:val="00B3584D"/>
    <w:rsid w:val="00B51E36"/>
    <w:rsid w:val="00B54CB3"/>
    <w:rsid w:val="00B613EA"/>
    <w:rsid w:val="00B7353E"/>
    <w:rsid w:val="00B76C93"/>
    <w:rsid w:val="00B76EF8"/>
    <w:rsid w:val="00B77A71"/>
    <w:rsid w:val="00B81A08"/>
    <w:rsid w:val="00BA2C93"/>
    <w:rsid w:val="00BA3F55"/>
    <w:rsid w:val="00BB6E33"/>
    <w:rsid w:val="00BC7A62"/>
    <w:rsid w:val="00BD0DE9"/>
    <w:rsid w:val="00BE1D10"/>
    <w:rsid w:val="00BE2D5B"/>
    <w:rsid w:val="00BE3FA1"/>
    <w:rsid w:val="00BE560F"/>
    <w:rsid w:val="00BE67BE"/>
    <w:rsid w:val="00BF255A"/>
    <w:rsid w:val="00BF2A48"/>
    <w:rsid w:val="00BF2F40"/>
    <w:rsid w:val="00BF6F6B"/>
    <w:rsid w:val="00BF7AF1"/>
    <w:rsid w:val="00C00CEE"/>
    <w:rsid w:val="00C05686"/>
    <w:rsid w:val="00C11F82"/>
    <w:rsid w:val="00C1510C"/>
    <w:rsid w:val="00C24F83"/>
    <w:rsid w:val="00C33F9B"/>
    <w:rsid w:val="00C34B0A"/>
    <w:rsid w:val="00C34DF1"/>
    <w:rsid w:val="00C36D86"/>
    <w:rsid w:val="00C4218A"/>
    <w:rsid w:val="00C44809"/>
    <w:rsid w:val="00C44DD7"/>
    <w:rsid w:val="00C44F7C"/>
    <w:rsid w:val="00C64978"/>
    <w:rsid w:val="00C66800"/>
    <w:rsid w:val="00C7137A"/>
    <w:rsid w:val="00C73A7B"/>
    <w:rsid w:val="00C7516C"/>
    <w:rsid w:val="00C77B1B"/>
    <w:rsid w:val="00C804C7"/>
    <w:rsid w:val="00C931BE"/>
    <w:rsid w:val="00C93ADC"/>
    <w:rsid w:val="00C959F1"/>
    <w:rsid w:val="00CA069A"/>
    <w:rsid w:val="00CB1156"/>
    <w:rsid w:val="00CC7B84"/>
    <w:rsid w:val="00CD00F8"/>
    <w:rsid w:val="00CD11AA"/>
    <w:rsid w:val="00CE389C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31F12"/>
    <w:rsid w:val="00D377FE"/>
    <w:rsid w:val="00D479DB"/>
    <w:rsid w:val="00D656CD"/>
    <w:rsid w:val="00D76FDD"/>
    <w:rsid w:val="00D80A50"/>
    <w:rsid w:val="00D81450"/>
    <w:rsid w:val="00D86698"/>
    <w:rsid w:val="00D86871"/>
    <w:rsid w:val="00D86CB5"/>
    <w:rsid w:val="00D94B5A"/>
    <w:rsid w:val="00D970F7"/>
    <w:rsid w:val="00DB0460"/>
    <w:rsid w:val="00DB42F9"/>
    <w:rsid w:val="00DC20CA"/>
    <w:rsid w:val="00DE3A07"/>
    <w:rsid w:val="00DE6BB8"/>
    <w:rsid w:val="00DF2AA4"/>
    <w:rsid w:val="00DF42BB"/>
    <w:rsid w:val="00E26DE3"/>
    <w:rsid w:val="00E36C39"/>
    <w:rsid w:val="00E3754D"/>
    <w:rsid w:val="00E402B9"/>
    <w:rsid w:val="00E51165"/>
    <w:rsid w:val="00E5127E"/>
    <w:rsid w:val="00E53183"/>
    <w:rsid w:val="00E535D9"/>
    <w:rsid w:val="00E54BBB"/>
    <w:rsid w:val="00E61B40"/>
    <w:rsid w:val="00E62C90"/>
    <w:rsid w:val="00E66CDA"/>
    <w:rsid w:val="00E75CF6"/>
    <w:rsid w:val="00E808B7"/>
    <w:rsid w:val="00E81C67"/>
    <w:rsid w:val="00E83EA8"/>
    <w:rsid w:val="00E91A86"/>
    <w:rsid w:val="00E96199"/>
    <w:rsid w:val="00E96931"/>
    <w:rsid w:val="00EA5C98"/>
    <w:rsid w:val="00EA5E37"/>
    <w:rsid w:val="00EA6074"/>
    <w:rsid w:val="00EA6BB8"/>
    <w:rsid w:val="00EB1F9E"/>
    <w:rsid w:val="00EB460B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D11F7"/>
    <w:rsid w:val="00ED7EA3"/>
    <w:rsid w:val="00EE2912"/>
    <w:rsid w:val="00EF0A1F"/>
    <w:rsid w:val="00EF428C"/>
    <w:rsid w:val="00F10FC3"/>
    <w:rsid w:val="00F11008"/>
    <w:rsid w:val="00F1136D"/>
    <w:rsid w:val="00F25946"/>
    <w:rsid w:val="00F34FB5"/>
    <w:rsid w:val="00F378F7"/>
    <w:rsid w:val="00F37F91"/>
    <w:rsid w:val="00F40FD9"/>
    <w:rsid w:val="00F4771F"/>
    <w:rsid w:val="00F52188"/>
    <w:rsid w:val="00F530ED"/>
    <w:rsid w:val="00F53BF5"/>
    <w:rsid w:val="00F5502B"/>
    <w:rsid w:val="00F55D6D"/>
    <w:rsid w:val="00F6497E"/>
    <w:rsid w:val="00F87B6D"/>
    <w:rsid w:val="00F9104B"/>
    <w:rsid w:val="00F91D9D"/>
    <w:rsid w:val="00F93996"/>
    <w:rsid w:val="00FA3EE2"/>
    <w:rsid w:val="00FA5485"/>
    <w:rsid w:val="00FA7744"/>
    <w:rsid w:val="00FB56FB"/>
    <w:rsid w:val="00FB6ADE"/>
    <w:rsid w:val="00FB6BDB"/>
    <w:rsid w:val="00FC20F7"/>
    <w:rsid w:val="00FC5E4B"/>
    <w:rsid w:val="00FC6A59"/>
    <w:rsid w:val="00FD61AD"/>
    <w:rsid w:val="00FE4C33"/>
    <w:rsid w:val="00FE6F50"/>
    <w:rsid w:val="00FF0F2A"/>
    <w:rsid w:val="00FF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  <w:style w:type="character" w:styleId="af2">
    <w:name w:val="Hyperlink"/>
    <w:basedOn w:val="a0"/>
    <w:uiPriority w:val="99"/>
    <w:unhideWhenUsed/>
    <w:rsid w:val="00A628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9AEC2-73FD-4AEC-BC01-25239522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9355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Комаров А.С.</cp:lastModifiedBy>
  <cp:revision>16</cp:revision>
  <cp:lastPrinted>2019-12-19T08:44:00Z</cp:lastPrinted>
  <dcterms:created xsi:type="dcterms:W3CDTF">2019-12-03T14:22:00Z</dcterms:created>
  <dcterms:modified xsi:type="dcterms:W3CDTF">2020-12-02T17:04:00Z</dcterms:modified>
</cp:coreProperties>
</file>